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media/image1.jpeg" ContentType="image/jpeg"/>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pacing w:lineRule="auto" w:line="264" w:before="0" w:after="113"/>
        <w:rPr>
          <w:color w:val="4C4C4C"/>
          <w:sz w:val="52"/>
          <w:szCs w:val="52"/>
        </w:rPr>
      </w:pPr>
      <w:r>
        <w:rPr>
          <w:color w:val="4C4C4C"/>
          <w:sz w:val="52"/>
          <w:szCs w:val="52"/>
        </w:rPr>
        <w:t>Interview mit Karl V – ein Selbstgespräch</w:t>
      </w:r>
    </w:p>
    <w:p>
      <w:pPr>
        <w:pStyle w:val="Normal"/>
        <w:widowControl/>
        <w:suppressAutoHyphens w:val="false"/>
        <w:spacing w:lineRule="auto" w:line="264" w:before="0" w:after="113"/>
        <w:rPr/>
      </w:pPr>
      <w:r>
        <w:rPr/>
      </w:r>
    </w:p>
    <w:p>
      <w:pPr>
        <w:pStyle w:val="Normal"/>
        <w:suppressAutoHyphens w:val="false"/>
        <w:spacing w:lineRule="auto" w:line="264" w:before="0" w:after="113"/>
        <w:rPr/>
      </w:pPr>
      <w:r>
        <w:rPr/>
      </w:r>
    </w:p>
    <w:p>
      <w:pPr>
        <w:pStyle w:val="Normal"/>
        <w:suppressAutoHyphens w:val="false"/>
        <w:spacing w:lineRule="auto" w:line="264" w:before="0" w:after="113"/>
        <w:rPr/>
      </w:pPr>
      <w:r>
        <w:rPr/>
        <w:tab/>
        <w:t>Frage: Das hört sich nach einer Gratwanderung an. Wie sehen Sie die Arbeit in Wikipedia?</w:t>
      </w:r>
    </w:p>
    <w:p>
      <w:pPr>
        <w:pStyle w:val="Normal"/>
        <w:suppressAutoHyphens w:val="false"/>
        <w:spacing w:lineRule="auto" w:line="264" w:before="0" w:after="113"/>
        <w:rPr/>
      </w:pPr>
      <w:r>
        <w:rPr/>
        <w:tab/>
        <w:t>KarlV: Das möchte ich gerne mit einem frischen Zitat einer WP-Kollegin beantworten: „Nur sind unsere WP-Autoren eben keine Autoren im landläufigen Sinn: Sie sind keine Journalisten, keine Romanciers, keine Dichter und keine Sachbuchautoren – allen diesen Spielarten von Autoren oder Autorschaft wird man mehr oder weniger Freiheit bei der Abfassung von Texten zugestehen; sogar Fiktion in einem Roman, sogar einen klaren POV (z. B. in einem journalistischen Meinungsbeitrag). Unsere WP-Autoren sind Berichterstatter: Sie tragen zusammen, werten aus und geben belegt wieder, was namentlich bekannte Autoren geschrieben und berichtet haben.“</w:t>
      </w:r>
    </w:p>
    <w:p>
      <w:pPr>
        <w:pStyle w:val="Normal"/>
        <w:suppressAutoHyphens w:val="false"/>
        <w:spacing w:lineRule="auto" w:line="264" w:before="0" w:after="113"/>
        <w:rPr/>
      </w:pPr>
      <w:r>
        <w:rPr/>
        <w:t>Ich verwende anstatt „Berichterstatter“ gerne, dass wir als „Chronisten“ arbeiten. Ob der Chronist KarlV oder anders heißt, spielt keine Rolle. Einzig wichtig ist, dass KarlV und jeder andere die Grundprinzipien der Wikipedia einhält, seriöse Quellen verwendet und seine Quellen korrekt nachweist.</w:t>
      </w:r>
    </w:p>
    <w:p>
      <w:pPr>
        <w:pStyle w:val="Normal"/>
        <w:suppressAutoHyphens w:val="false"/>
        <w:spacing w:lineRule="auto" w:line="264" w:before="0" w:after="113"/>
        <w:rPr/>
      </w:pPr>
      <w:r>
        <w:rPr/>
      </w:r>
    </w:p>
    <w:p>
      <w:pPr>
        <w:pStyle w:val="Normal"/>
        <w:suppressAutoHyphens w:val="false"/>
        <w:spacing w:lineRule="auto" w:line="264" w:before="0" w:after="113"/>
        <w:rPr/>
      </w:pPr>
      <w:r>
        <w:rPr/>
        <w:tab/>
        <w:t xml:space="preserve">Frage: Was ist Ihre Meinung zu dem Berliner Urteil vom August 2018, dass Wikipedia-Autoren die </w:t>
        <w:tab/>
        <w:t>gleichen Sorgfaltspflichten beachten müssten, wie Journalisten?</w:t>
      </w:r>
    </w:p>
    <w:p>
      <w:pPr>
        <w:pStyle w:val="Normal"/>
        <w:suppressAutoHyphens w:val="false"/>
        <w:spacing w:lineRule="auto" w:line="264" w:before="0" w:after="113"/>
        <w:rPr/>
      </w:pPr>
      <w:r>
        <w:rPr/>
        <w:tab/>
        <w:t>KarlV: Das Urteil rennt bei mir offene Türen ein, denn ich beachte dies seit Anbeginn meiner freiwilligen Arbeit für Wikipedia. Ich habe natürlich einen Heimvorteil, weil ich bereits sowohl als investigativer Journalist gearbeitet habe, als auch in der wissenschaftlichen Forschung arbeite und in Wikipedia beispielsweise automatisch Sekundärquellen mit den Primärquellen gegenprüfe. Oder wenn ich eine Information aus einer journalistische Quelle nehme überprüfe ich, ob es dort auch eine Gegendarstellung gibt. Die Ansicht des Gerichts ist dennoch falsch, da ein Artikel in Wikipedia nicht einen Autor hat, sondern viele verschiedene [vgl. Versionsgeschichte der Wikipedia-Artikel – erg.]. Wenn also ich die Sorgfaltspflicht in einem speziellen Artikel wahre und eine Information einfüge, die 1 % des Textes ausmacht und meine anderen 10-100 Mitautoren nicht, die für 99% des Textes verantwortlich sind – wer soll das überprüfen? Administratoren sind meistens nicht in den Fachartikeln bewandert und können das nicht leisten. Wir werden noch sehen, welche konkreten Auswirkungen das Urteil haben wird. Aber einen Rat kann ich an dieser Stelle loswerden. Menschen, die sich in Wikipedia falsch dargestellt fühlen, haben verschiedene Wege beispielsweise Falschinformationen zu korrigieren. Man kann z.B. auf der Diskussionsseite des betreffenden Artikels eine Nachricht hinterlegen oder man kann sich an das OTRS-Team wenden.</w:t>
      </w:r>
    </w:p>
    <w:p>
      <w:pPr>
        <w:pStyle w:val="Normal"/>
        <w:suppressAutoHyphens w:val="false"/>
        <w:spacing w:lineRule="auto" w:line="264" w:before="0" w:after="113"/>
        <w:rPr/>
      </w:pPr>
      <w:r>
        <w:rPr/>
      </w:r>
    </w:p>
    <w:p>
      <w:pPr>
        <w:pStyle w:val="Normal"/>
        <w:suppressAutoHyphens w:val="false"/>
        <w:spacing w:lineRule="auto" w:line="264" w:before="0" w:after="113"/>
        <w:rPr/>
      </w:pPr>
      <w:r>
        <w:rPr/>
        <w:tab/>
        <w:t>Frage: Die anonymen Autoren sind zurzeit ein Kritikpunkt an Wikipedia. Wie stehen Sie dazu?</w:t>
      </w:r>
    </w:p>
    <w:p>
      <w:pPr>
        <w:pStyle w:val="Normal"/>
        <w:suppressAutoHyphens w:val="false"/>
        <w:spacing w:lineRule="auto" w:line="264" w:before="0" w:after="113"/>
        <w:rPr/>
      </w:pPr>
      <w:r>
        <w:rPr/>
        <w:tab/>
        <w:t>KarlV: Ich sage es mal so, ich bin nicht in Wikipedia, weil ich hier anonym schreiben kann. Hätte das Projekt die Klarnamenspflicht, wäre ich vielleicht auch dabei. Aufgrund meines Themas vielleicht aber nur unter Pseudonym. Über die Gründe habe ich mich ja bereits an verschiedenen Stellen ausgelassen. Das Projekt hat zugegebener Maßen Stärken und Schwächen. Der Erfolg von Wikipedia ist das Konzept, nämlich das eine im wahrsten Sinne des Wortes anonyme Schwarmintelligenz das aktuelle Wissen zusammenträgt und kostenfrei für jedermann zugänglich abbildet. Das klappt scheinbar hervorragend, allerdings bringt die Anonymität die Probleme mit sich, die gerade die Community beschäftigt. Da steckt das Projekt im Dilemma. Die verschärften Richtlinien, die sich das Projekt gegeben hat, haben bereits Wirkung gezeigt und helfen den gröbsten Missbrauch zu unterbinden. Das gelingt jedoch nicht 100%. Es ist wie im richtigen Leben. Auch die besten Strafgesetze und Maßnahmen zur Prävention können nicht verhindern, dass trotzdem Straftaten verübt werden.</w:t>
      </w:r>
    </w:p>
    <w:p>
      <w:pPr>
        <w:pStyle w:val="Normal"/>
        <w:suppressAutoHyphens w:val="false"/>
        <w:spacing w:lineRule="auto" w:line="264" w:before="0" w:after="113"/>
        <w:rPr/>
      </w:pPr>
      <w:r>
        <w:rPr/>
      </w:r>
    </w:p>
    <w:p>
      <w:pPr>
        <w:pStyle w:val="Normal"/>
        <w:suppressAutoHyphens w:val="false"/>
        <w:spacing w:lineRule="auto" w:line="264" w:before="0" w:after="113"/>
        <w:rPr/>
      </w:pPr>
      <w:r>
        <w:rPr/>
      </w:r>
    </w:p>
    <w:p>
      <w:pPr>
        <w:sectPr>
          <w:type w:val="nextPage"/>
          <w:pgSz w:w="11906" w:h="16838"/>
          <w:pgMar w:left="1134" w:right="1134" w:header="0" w:top="1134" w:footer="0" w:bottom="1134" w:gutter="0"/>
          <w:pgNumType w:fmt="decimal"/>
          <w:formProt w:val="false"/>
          <w:textDirection w:val="lrTb"/>
          <w:docGrid w:type="default" w:linePitch="240" w:charSpace="4294965247"/>
        </w:sectPr>
        <w:pStyle w:val="Normal"/>
        <w:widowControl/>
        <w:suppressAutoHyphens w:val="false"/>
        <w:spacing w:lineRule="auto" w:line="264" w:before="0" w:after="113"/>
        <w:rPr/>
      </w:pPr>
      <w:r>
        <w:rPr/>
        <w:t xml:space="preserve">Karl V (Pseudonym eines Wikipedianers): </w:t>
      </w:r>
      <w:hyperlink r:id="rId2">
        <w:r>
          <w:rPr>
            <w:rStyle w:val="Internetlink"/>
          </w:rPr>
          <w:t>https://de.wikipedia.org/wiki/Benutzer:KarlV/Pers%C3%B6nliche_Betrachtungen_eines_einfachen_Wikipedianers</w:t>
        </w:r>
      </w:hyperlink>
      <w:r>
        <w:rPr/>
        <w:t xml:space="preserve">     190315|10.55</w:t>
      </w:r>
    </w:p>
    <w:p>
      <w:pPr>
        <w:pStyle w:val="Normal"/>
        <w:spacing w:lineRule="auto" w:line="264" w:before="0" w:after="113"/>
        <w:rPr>
          <w:color w:val="4C4C4C"/>
          <w:sz w:val="40"/>
          <w:szCs w:val="40"/>
        </w:rPr>
      </w:pPr>
      <w:r>
        <w:rPr>
          <w:color w:val="4C4C4C"/>
          <w:sz w:val="40"/>
          <w:szCs w:val="40"/>
        </w:rPr>
        <w:t>Strenge Vorschriften für Thüringer Schüler bei Prüfungen</w:t>
      </w:r>
    </w:p>
    <w:p>
      <w:pPr>
        <w:pStyle w:val="Normal"/>
        <w:spacing w:lineRule="auto" w:line="264" w:before="0" w:after="113"/>
        <w:rPr/>
      </w:pPr>
      <w:r>
        <w:rPr/>
        <w:t>Thüringer Allgemeine vom 26. Februar 2011, Angelika Reiser-Fischer</w:t>
      </w:r>
    </w:p>
    <w:p>
      <w:pPr>
        <w:pStyle w:val="Normal"/>
        <w:spacing w:lineRule="auto" w:line="264" w:before="0" w:after="113"/>
        <w:rPr/>
      </w:pPr>
      <w:r>
        <w:rPr/>
      </w:r>
    </w:p>
    <w:p>
      <w:pPr>
        <w:pStyle w:val="Normal"/>
        <w:spacing w:lineRule="auto" w:line="264" w:before="0" w:after="113"/>
        <w:rPr/>
      </w:pPr>
      <w:r>
        <w:rPr/>
        <w:t>Stress zu Hause? Angst vor schlechten Noten? Wegen der Party keine Lust auf Hausaufgaben? Nicht nur Verteidigungsminister, auch Schüler haben jede Menge gute Gründe, warum sie abschreiben. Aber für sie kann es übel ausgehen.</w:t>
      </w:r>
    </w:p>
    <w:tbl>
      <w:tblPr>
        <w:jc w:val="left"/>
        <w:tblInd w:w="0" w:type="dxa"/>
        <w:tblBorders>
          <w:top w:val="nil"/>
          <w:left w:val="nil"/>
          <w:bottom w:val="nil"/>
          <w:insideH w:val="nil"/>
          <w:right w:val="nil"/>
          <w:insideV w:val="nil"/>
        </w:tblBorders>
        <w:tblCellMar>
          <w:top w:w="0" w:type="dxa"/>
          <w:left w:w="0" w:type="dxa"/>
          <w:bottom w:w="0" w:type="dxa"/>
          <w:right w:w="0" w:type="dxa"/>
        </w:tblCellMar>
      </w:tblPr>
      <w:tblGrid>
        <w:gridCol w:w="3968"/>
        <w:gridCol w:w="6803"/>
      </w:tblGrid>
      <w:tr>
        <w:trPr>
          <w:cantSplit w:val="false"/>
        </w:trPr>
        <w:tc>
          <w:tcPr>
            <w:tcW w:w="3968" w:type="dxa"/>
            <w:tcBorders>
              <w:top w:val="nil"/>
              <w:left w:val="nil"/>
              <w:bottom w:val="nil"/>
              <w:insideH w:val="nil"/>
              <w:right w:val="nil"/>
              <w:insideV w:val="nil"/>
            </w:tcBorders>
            <w:shd w:fill="FFFFFF" w:val="clear"/>
          </w:tcPr>
          <w:p>
            <w:pPr>
              <w:pStyle w:val="TabellenInhalt"/>
              <w:rPr/>
            </w:pPr>
            <w:r>
              <w:rPr/>
              <w:drawing>
                <wp:anchor behindDoc="0" distT="0" distB="0" distL="0" distR="0" simplePos="0" locked="0" layoutInCell="1" allowOverlap="1" relativeHeight="0">
                  <wp:simplePos x="0" y="0"/>
                  <wp:positionH relativeFrom="column">
                    <wp:posOffset>20955</wp:posOffset>
                  </wp:positionH>
                  <wp:positionV relativeFrom="paragraph">
                    <wp:posOffset>0</wp:posOffset>
                  </wp:positionV>
                  <wp:extent cx="2345690" cy="891540"/>
                  <wp:effectExtent l="0" t="0" r="0" b="0"/>
                  <wp:wrapSquare wrapText="largest"/>
                  <wp:docPr id="0" name="Pictur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
                          <pic:cNvPicPr>
                            <a:picLocks noChangeAspect="1" noChangeArrowheads="1"/>
                          </pic:cNvPicPr>
                        </pic:nvPicPr>
                        <pic:blipFill>
                          <a:blip r:embed="rId3"/>
                          <a:stretch>
                            <a:fillRect/>
                          </a:stretch>
                        </pic:blipFill>
                        <pic:spPr bwMode="auto">
                          <a:xfrm>
                            <a:off x="0" y="0"/>
                            <a:ext cx="2345690" cy="891540"/>
                          </a:xfrm>
                          <a:prstGeom prst="rect">
                            <a:avLst/>
                          </a:prstGeom>
                          <a:noFill/>
                          <a:ln w="9525">
                            <a:noFill/>
                            <a:miter lim="800000"/>
                            <a:headEnd/>
                            <a:tailEnd/>
                          </a:ln>
                        </pic:spPr>
                      </pic:pic>
                    </a:graphicData>
                  </a:graphic>
                </wp:anchor>
              </w:drawing>
            </w:r>
          </w:p>
        </w:tc>
        <w:tc>
          <w:tcPr>
            <w:tcW w:w="6803" w:type="dxa"/>
            <w:tcBorders>
              <w:top w:val="nil"/>
              <w:left w:val="nil"/>
              <w:bottom w:val="nil"/>
              <w:insideH w:val="nil"/>
              <w:right w:val="nil"/>
              <w:insideV w:val="nil"/>
            </w:tcBorders>
            <w:shd w:fill="FFFFFF" w:val="clear"/>
          </w:tcPr>
          <w:p>
            <w:pPr>
              <w:pStyle w:val="Normal"/>
              <w:spacing w:lineRule="auto" w:line="264" w:before="0" w:after="113"/>
              <w:rPr/>
            </w:pPr>
            <w:r>
              <w:rPr/>
              <w:t xml:space="preserve">Karl-Theodor zu </w:t>
            </w:r>
            <w:bookmarkStart w:id="0" w:name="__DdeLink__60_1195544814"/>
            <w:r>
              <w:rPr/>
              <w:t>Guttenberg</w:t>
            </w:r>
            <w:bookmarkEnd w:id="0"/>
            <w:r>
              <w:rPr/>
              <w:t xml:space="preserve"> hat viel mehr abgeschrieben, als er anfangs einräumte. Foto: Berthold Stadler/dapd</w:t>
            </w:r>
          </w:p>
          <w:p>
            <w:pPr>
              <w:pStyle w:val="Normal"/>
              <w:spacing w:lineRule="auto" w:line="264" w:before="0" w:after="113"/>
              <w:rPr/>
            </w:pPr>
            <w:r>
              <w:rPr/>
            </w:r>
          </w:p>
          <w:p>
            <w:pPr>
              <w:pStyle w:val="Normal"/>
              <w:spacing w:lineRule="auto" w:line="264" w:before="0" w:after="113"/>
              <w:rPr/>
            </w:pPr>
            <w:r>
              <w:rPr/>
            </w:r>
          </w:p>
          <w:p>
            <w:pPr>
              <w:pStyle w:val="Normal"/>
              <w:spacing w:lineRule="auto" w:line="264" w:before="0" w:after="113"/>
              <w:rPr/>
            </w:pPr>
            <w:r>
              <w:rPr/>
            </w:r>
          </w:p>
        </w:tc>
      </w:tr>
    </w:tbl>
    <w:p>
      <w:pPr>
        <w:pStyle w:val="Normal"/>
        <w:spacing w:lineRule="auto" w:line="264" w:before="0" w:after="113"/>
        <w:rPr/>
      </w:pPr>
      <w:r>
        <w:rPr/>
      </w:r>
    </w:p>
    <w:p>
      <w:pPr>
        <w:pStyle w:val="Normal"/>
        <w:widowControl/>
        <w:suppressAutoHyphens w:val="false"/>
        <w:spacing w:lineRule="auto" w:line="264" w:before="0" w:after="113"/>
        <w:rPr/>
      </w:pPr>
      <w:r>
        <w:rPr/>
      </w:r>
    </w:p>
    <w:p>
      <w:pPr>
        <w:pStyle w:val="Normal"/>
        <w:widowControl/>
        <w:suppressAutoHyphens w:val="false"/>
        <w:spacing w:lineRule="auto" w:line="264" w:before="0" w:after="113"/>
        <w:rPr/>
      </w:pPr>
      <w:r>
        <w:rPr/>
        <w:t>Erfurt. An den Thüringer Gymnasien ist derzeit Endspurt fürs Abitur. Nur noch sechs Wochen, dann gibt es das Zeugnis fürs zweite Halbjahr. Zeit für Leistungskontrollen und Klassenarbeiten. „Abschreiben, Spicken? Für uns ein großes Thema“, sagt der Schulleiter des Sprachgymnasiums Schnepfenthal bei Walthershausen, Dirk Schmidt. Im Seminarfach lernt man an seiner Schule wie an allen Gymnasien im Land ab der 10. Klasse, wie wissenschaftlich exakt gearbeitet wird und wie ein sauberer Quellennachweis auszusehen hat. Auch muss dann jeder Schüler in seiner Abschlussarbeit mit Unterschrift erklären, dass er sie ohne unerlaubte Hilfsmittel angefertigt hat. Allerdings: „Im Herbst haben wir tatsächlich einen Schüler erwischt, der aus dem Internet abgeschrieben hatte“, berichtet Schmidt. Die Strafe: Die Note wurde um zwei Stufen abgesenkt.</w:t>
      </w:r>
    </w:p>
    <w:p>
      <w:pPr>
        <w:pStyle w:val="Normal"/>
        <w:widowControl/>
        <w:suppressAutoHyphens w:val="false"/>
        <w:spacing w:lineRule="auto" w:line="264" w:before="0" w:after="113"/>
        <w:rPr/>
      </w:pPr>
      <w:r>
        <w:rPr/>
        <w:t>Auch in Prüfungen, Klausuren, Klassenarbeiten geht es in Schnepfenthal streng zu. Schüler werden vor Arbeiten über die Folgen des Schummelns belehrt. Und die Lehrer erklären genau, welche Hilfsmittel erlaubt sind: Duden, Tafelwerk, Taschenrechner, einheitliche und gekennzeichnete Bögen. Die Thüringer Schulordnung macht da genaue Vorgaben. In § 58 heißt es: „Bedient sich der Schüler bei der Anfertigung einer Klassenarbeit unerlaubter Hilfe, kann die Arbeit abgenommen und mit der Note ’ungenügend’ bewertet werden“. Auch der Versuch ist strafbar, und als solcher gelten auch „nicht zugelassene Hilfsmittel“, also Spickzettel, Handys und andere Verlockungen.</w:t>
      </w:r>
    </w:p>
    <w:p>
      <w:pPr>
        <w:pStyle w:val="Normal"/>
        <w:widowControl/>
        <w:suppressAutoHyphens w:val="false"/>
        <w:spacing w:lineRule="auto" w:line="264" w:before="0" w:after="113"/>
        <w:rPr/>
      </w:pPr>
      <w:r>
        <w:rPr/>
        <w:t>In Sachsen ist es noch strenger. Während in Thüringen von „kann“ die Rede ist, führt in Sachsen ein Täuschungsversuch zwangsläufig zu einer Sechs. Streng sind die Sitten auch in Prüfungen. Wer dort versucht zu schummeln, kann zusätzlich zur Sechs von der weiteren Prüfungs-Teilnahme ausgeschlossen werden.</w:t>
      </w:r>
    </w:p>
    <w:p>
      <w:pPr>
        <w:pStyle w:val="Normal"/>
        <w:widowControl/>
        <w:suppressAutoHyphens w:val="false"/>
        <w:spacing w:lineRule="auto" w:line="264" w:before="0" w:after="113"/>
        <w:rPr/>
      </w:pPr>
      <w:r>
        <w:rPr/>
        <w:t>Allerdings: Die Schüler sind beim Erfinden neuer Schummel-Wege ihren Lehrern oft um Längen voraus. Dazu könnte auch der ab dem nächsten Schuljahr von allen zu verwendende Super-Taschenrechner CAS dienen. Manchem Lehrer, so ist in Lehrerzimmern zu hören, graut schon davor, dass Schüler die Dinger für Prüfungen vorprogrammieren könnten. Indes: Keiner sollte sich endgültig sicher sein, dass er - einmal unentdeckt - gar niemals mehr enttarnt wird, heißt es aus dem Bildungsministerium. Denn in Paragraf 6 der Lehrerdienstordnung heißt es: „Klassenarbeiten sind zwei Jahre, Abiturarbeiten zehn Jahre, sonstige Abschlussarbeiten fünf Jahre aufzubewahren.“ Genug Zeit, selbst nach Jahren Schummeleien auf die Spur zu kommen.</w:t>
      </w:r>
    </w:p>
    <w:p>
      <w:pPr>
        <w:pStyle w:val="Normal"/>
        <w:widowControl/>
        <w:suppressAutoHyphens w:val="false"/>
        <w:spacing w:lineRule="auto" w:line="264" w:before="0" w:after="113"/>
        <w:rPr/>
      </w:pPr>
      <w:r>
        <w:rPr/>
        <w:t>Übrigens: Das Sprachgymnasium Schnepfenthal hat jetzt eine Software gekauft. Damit sollen alle Seminarfacharbeiten nochmal abgecheckt werden.</w:t>
      </w:r>
    </w:p>
    <w:p>
      <w:pPr>
        <w:pStyle w:val="Normal"/>
        <w:spacing w:lineRule="auto" w:line="264" w:before="0" w:after="113"/>
        <w:rPr/>
      </w:pPr>
      <w:r>
        <w:rPr/>
      </w:r>
    </w:p>
    <w:p>
      <w:pPr>
        <w:pStyle w:val="Normal"/>
        <w:spacing w:lineRule="auto" w:line="264" w:before="0" w:after="113"/>
        <w:rPr/>
      </w:pPr>
      <w:r>
        <w:rPr/>
      </w:r>
    </w:p>
    <w:p>
      <w:pPr>
        <w:pStyle w:val="Normal"/>
        <w:spacing w:lineRule="auto" w:line="264" w:before="0" w:after="113"/>
        <w:rPr/>
      </w:pPr>
      <w:r>
        <w:rPr/>
      </w:r>
    </w:p>
    <w:p>
      <w:pPr>
        <w:pStyle w:val="Normal"/>
        <w:suppressAutoHyphens w:val="false"/>
        <w:spacing w:lineRule="auto" w:line="264" w:before="0" w:after="113"/>
        <w:rPr/>
      </w:pPr>
      <w:hyperlink r:id="rId4">
        <w:r>
          <w:rPr>
            <w:rStyle w:val="Internetlink"/>
          </w:rPr>
          <w:t>https://www.thueringer-allgemeine.de/web/zgt/leben/detail/-/specific/Strenge-Vorschriften-fuer-Thueringer-Schueler-bei-Pruefungen-1446964714</w:t>
        </w:r>
      </w:hyperlink>
      <w:r>
        <w:rPr/>
        <w:t xml:space="preserve">     181127|08.40</w:t>
      </w:r>
    </w:p>
    <w:sectPr>
      <w:type w:val="nextPage"/>
      <w:pgSz w:w="11906" w:h="16838"/>
      <w:pgMar w:left="1134" w:right="1134" w:header="0" w:top="1134" w:footer="0" w:bottom="1134" w:gutter="0"/>
      <w:pgNumType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kkurat-Light">
    <w:charset w:val="01"/>
    <w:family w:val="auto"/>
    <w:pitch w:val="default"/>
  </w:font>
</w:fonts>
</file>

<file path=word/settings.xml><?xml version="1.0" encoding="utf-8"?>
<w:settings xmlns:w="http://schemas.openxmlformats.org/wordprocessingml/2006/main">
  <w:zoom w:percent="36"/>
  <w:defaultTabStop w:val="709"/>
</w:settings>
</file>

<file path=word/styles.xml><?xml version="1.0" encoding="utf-8"?>
<w:styles xmlns:w="http://schemas.openxmlformats.org/wordprocessingml/2006/main">
  <w:docDefaults>
    <w:rPrDefault>
      <w:rPr>
        <w:rFonts w:ascii="Akkurat-Light" w:hAnsi="Akkurat-Light" w:eastAsia="Arial Unicode MS" w:cs="Lucida Sans"/>
        <w:sz w:val="22"/>
        <w:szCs w:val="24"/>
        <w:lang w:val="de-DE" w:eastAsia="zh-CN" w:bidi="hi-IN"/>
      </w:rPr>
    </w:rPrDefault>
    <w:pPrDefault>
      <w:pPr/>
    </w:pPrDefault>
  </w:docDefaults>
  <w:style w:type="paragraph" w:styleId="Normal">
    <w:name w:val="Normal"/>
    <w:pPr>
      <w:widowControl w:val="false"/>
      <w:suppressAutoHyphens w:val="true"/>
      <w:overflowPunct w:val="false"/>
      <w:bidi w:val="0"/>
      <w:jc w:val="left"/>
    </w:pPr>
    <w:rPr>
      <w:rFonts w:ascii="Akkurat-Light" w:hAnsi="Akkurat-Light" w:eastAsia="Arial Unicode MS" w:cs="Lucida Sans"/>
      <w:color w:val="00000A"/>
      <w:sz w:val="22"/>
      <w:szCs w:val="24"/>
      <w:lang w:val="de-DE" w:eastAsia="zh-CN" w:bidi="hi-IN"/>
    </w:rPr>
  </w:style>
  <w:style w:type="character" w:styleId="Internetlink">
    <w:name w:val="Internetlink"/>
    <w:rPr>
      <w:color w:val="000080"/>
      <w:u w:val="single"/>
      <w:lang w:val="zxx" w:eastAsia="zxx" w:bidi="zxx"/>
    </w:rPr>
  </w:style>
  <w:style w:type="paragraph" w:styleId="Berschrift">
    <w:name w:val="Überschrift"/>
    <w:basedOn w:val="Normal"/>
    <w:next w:val="Textkrper"/>
    <w:pPr>
      <w:keepNext/>
      <w:spacing w:before="240" w:after="120"/>
    </w:pPr>
    <w:rPr>
      <w:rFonts w:ascii="Akkurat-Light" w:hAnsi="Akkurat-Light" w:eastAsia="Arial Unicode MS" w:cs="Lucida Sans"/>
      <w:sz w:val="22"/>
      <w:szCs w:val="28"/>
    </w:rPr>
  </w:style>
  <w:style w:type="paragraph" w:styleId="Textkrper">
    <w:name w:val="Textkörper"/>
    <w:basedOn w:val="Normal"/>
    <w:pPr>
      <w:spacing w:lineRule="auto" w:line="288" w:before="0" w:after="140"/>
    </w:pPr>
    <w:rPr/>
  </w:style>
  <w:style w:type="paragraph" w:styleId="Liste">
    <w:name w:val="Liste"/>
    <w:basedOn w:val="Textkrper"/>
    <w:pPr/>
    <w:rPr>
      <w:rFonts w:ascii="Akkurat-Light" w:hAnsi="Akkurat-Light" w:cs="Lucida Sans"/>
    </w:rPr>
  </w:style>
  <w:style w:type="paragraph" w:styleId="Beschriftung">
    <w:name w:val="Beschriftung"/>
    <w:basedOn w:val="Normal"/>
    <w:pPr>
      <w:suppressLineNumbers/>
      <w:spacing w:before="120" w:after="120"/>
    </w:pPr>
    <w:rPr>
      <w:rFonts w:ascii="Akkurat-Light" w:hAnsi="Akkurat-Light" w:cs="Lucida Sans"/>
      <w:i/>
      <w:iCs/>
      <w:sz w:val="22"/>
      <w:szCs w:val="24"/>
    </w:rPr>
  </w:style>
  <w:style w:type="paragraph" w:styleId="Verzeichnis">
    <w:name w:val="Verzeichnis"/>
    <w:basedOn w:val="Normal"/>
    <w:pPr>
      <w:suppressLineNumbers/>
    </w:pPr>
    <w:rPr>
      <w:rFonts w:ascii="Akkurat-Light" w:hAnsi="Akkurat-Light" w:cs="Lucida Sans"/>
    </w:rPr>
  </w:style>
  <w:style w:type="paragraph" w:styleId="TabellenInhalt">
    <w:name w:val="Tabellen Inhalt"/>
    <w:basedOn w:val="Normal"/>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e.wikipedia.org/wiki/Benutzer:KarlV/Pers&#246;nliche_Betrachtungen_eines_einfachen_Wikipedianers" TargetMode="External"/><Relationship Id="rId3" Type="http://schemas.openxmlformats.org/officeDocument/2006/relationships/image" Target="media/image1.jpeg"/><Relationship Id="rId4" Type="http://schemas.openxmlformats.org/officeDocument/2006/relationships/hyperlink" Target="https://www.thueringer-allgemeine.de/web/zgt/leben/detail/-/specific/Strenge-Vorschriften-fuer-Thueringer-Schueler-bei-Pruefungen-1446964714" TargetMode="Externa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mylayout</Template>
  <TotalTime>0</TotalTime>
  <Application>LibreOffice/4.2.8.2$MacOSX_x86 LibreOffice_project/48d50dbfc06349262c9d50868e5c1f630a573ebd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2019-03-15T10:53:22Z</dcterms:created>
  <dc:language>de-DE</dc:language>
  <cp:revision>1</cp:revision>
  <dc:title>mylayout</dc:title>
</cp:coreProperties>
</file>